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894093" w:rsidRPr="001F6D74" w14:paraId="7710A197" w14:textId="77777777" w:rsidTr="00515096">
        <w:trPr>
          <w:trHeight w:val="374"/>
        </w:trPr>
        <w:tc>
          <w:tcPr>
            <w:tcW w:w="15021" w:type="dxa"/>
            <w:gridSpan w:val="5"/>
            <w:shd w:val="clear" w:color="auto" w:fill="CC0066"/>
          </w:tcPr>
          <w:p w14:paraId="31893059" w14:textId="0E2DB379" w:rsidR="00894093" w:rsidRPr="001F6D74" w:rsidRDefault="00894093" w:rsidP="005150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proofErr w:type="gramStart"/>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w:t>
            </w:r>
            <w:proofErr w:type="spellStart"/>
            <w:r w:rsidR="00576B4B">
              <w:rPr>
                <w:rFonts w:asciiTheme="majorHAnsi" w:hAnsiTheme="majorHAnsi" w:cstheme="majorBidi"/>
                <w:b/>
                <w:bCs/>
                <w:color w:val="FFFFFF" w:themeColor="background1"/>
                <w:sz w:val="28"/>
                <w:szCs w:val="28"/>
              </w:rPr>
              <w:t>Eduqas</w:t>
            </w:r>
            <w:proofErr w:type="spellEnd"/>
            <w:proofErr w:type="gramEnd"/>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w:t>
            </w:r>
            <w:r w:rsidR="00576B4B">
              <w:rPr>
                <w:rFonts w:asciiTheme="majorHAnsi" w:hAnsiTheme="majorHAnsi" w:cstheme="majorBidi"/>
                <w:b/>
                <w:bCs/>
                <w:color w:val="FFFFFF" w:themeColor="background1"/>
                <w:sz w:val="28"/>
                <w:szCs w:val="28"/>
              </w:rPr>
              <w:t>2</w:t>
            </w:r>
            <w:r w:rsidRPr="001F6D74">
              <w:rPr>
                <w:rFonts w:asciiTheme="majorHAnsi" w:hAnsiTheme="majorHAnsi" w:cstheme="majorBidi"/>
                <w:b/>
                <w:bCs/>
                <w:color w:val="FFFFFF" w:themeColor="background1"/>
                <w:sz w:val="28"/>
                <w:szCs w:val="28"/>
              </w:rPr>
              <w:t xml:space="preserve">              2022-23</w:t>
            </w:r>
          </w:p>
        </w:tc>
      </w:tr>
      <w:tr w:rsidR="00894093" w14:paraId="2430A76C" w14:textId="77777777" w:rsidTr="00515096">
        <w:trPr>
          <w:trHeight w:val="634"/>
        </w:trPr>
        <w:tc>
          <w:tcPr>
            <w:tcW w:w="15021" w:type="dxa"/>
            <w:gridSpan w:val="5"/>
          </w:tcPr>
          <w:p w14:paraId="54142733" w14:textId="4134D55B" w:rsidR="00894093" w:rsidRPr="001F6D74" w:rsidRDefault="00894093" w:rsidP="00515096">
            <w:pPr>
              <w:rPr>
                <w:b/>
                <w:bCs/>
                <w:sz w:val="28"/>
                <w:szCs w:val="28"/>
              </w:rPr>
            </w:pPr>
            <w:r w:rsidRPr="001F6D74">
              <w:rPr>
                <w:b/>
                <w:bCs/>
                <w:sz w:val="28"/>
                <w:szCs w:val="28"/>
              </w:rPr>
              <w:t>Curriculum Intent:</w:t>
            </w:r>
            <w:r w:rsidR="00E5128E">
              <w:rPr>
                <w:b/>
                <w:bCs/>
                <w:sz w:val="28"/>
                <w:szCs w:val="28"/>
              </w:rPr>
              <w:t xml:space="preserve"> </w:t>
            </w:r>
            <w:r w:rsidR="00E5128E">
              <w:rPr>
                <w:sz w:val="28"/>
                <w:szCs w:val="28"/>
              </w:rPr>
              <w:t xml:space="preserve">Key Stage Five Geography builds on the knowledge learnt from Key Stage Three and Four by continuing to focus on the three themes (Human Geography, Physical Geography and Environmental Geography). Students will </w:t>
            </w:r>
            <w:r w:rsidR="009E6A82">
              <w:rPr>
                <w:sz w:val="28"/>
                <w:szCs w:val="28"/>
              </w:rPr>
              <w:t>demonstrate in-depth</w:t>
            </w:r>
            <w:r w:rsidR="00E5128E">
              <w:rPr>
                <w:sz w:val="28"/>
                <w:szCs w:val="28"/>
              </w:rPr>
              <w:t xml:space="preserve"> understanding of relevant and appropriate examples so that students can become active citizens that are enthused by the subject and have the practical skills to play a key role in society. There are clear links to</w:t>
            </w:r>
            <w:r w:rsidR="00392ADD">
              <w:rPr>
                <w:sz w:val="28"/>
                <w:szCs w:val="28"/>
              </w:rPr>
              <w:t xml:space="preserve"> Higher Education</w:t>
            </w:r>
            <w:r w:rsidR="00E5128E">
              <w:rPr>
                <w:sz w:val="28"/>
                <w:szCs w:val="28"/>
              </w:rPr>
              <w:t>, but the course also includes elements to support our vision of creating active citizens of the future.</w:t>
            </w:r>
          </w:p>
        </w:tc>
      </w:tr>
      <w:tr w:rsidR="00894093" w14:paraId="2736BE9D" w14:textId="77777777" w:rsidTr="00515096">
        <w:trPr>
          <w:trHeight w:val="807"/>
        </w:trPr>
        <w:tc>
          <w:tcPr>
            <w:tcW w:w="1838" w:type="dxa"/>
            <w:vAlign w:val="center"/>
          </w:tcPr>
          <w:p w14:paraId="7993902E" w14:textId="77777777" w:rsidR="00894093" w:rsidRPr="001F6D74" w:rsidRDefault="00894093" w:rsidP="00515096">
            <w:pPr>
              <w:jc w:val="center"/>
              <w:rPr>
                <w:b/>
                <w:bCs/>
                <w:sz w:val="28"/>
                <w:szCs w:val="28"/>
              </w:rPr>
            </w:pPr>
            <w:r w:rsidRPr="001F6D74">
              <w:rPr>
                <w:b/>
                <w:bCs/>
                <w:sz w:val="28"/>
                <w:szCs w:val="28"/>
              </w:rPr>
              <w:t>School Values</w:t>
            </w:r>
          </w:p>
        </w:tc>
        <w:tc>
          <w:tcPr>
            <w:tcW w:w="2410" w:type="dxa"/>
            <w:vAlign w:val="center"/>
          </w:tcPr>
          <w:p w14:paraId="2D0F2C86" w14:textId="77777777" w:rsidR="00894093" w:rsidRPr="001F6D74" w:rsidRDefault="00894093" w:rsidP="00515096">
            <w:pPr>
              <w:jc w:val="center"/>
              <w:rPr>
                <w:b/>
                <w:bCs/>
                <w:sz w:val="28"/>
                <w:szCs w:val="28"/>
              </w:rPr>
            </w:pPr>
            <w:r w:rsidRPr="001F6D74">
              <w:rPr>
                <w:b/>
                <w:bCs/>
                <w:sz w:val="28"/>
                <w:szCs w:val="28"/>
              </w:rPr>
              <w:t>Curriculum Focus</w:t>
            </w:r>
          </w:p>
        </w:tc>
        <w:tc>
          <w:tcPr>
            <w:tcW w:w="3591" w:type="dxa"/>
            <w:vAlign w:val="center"/>
          </w:tcPr>
          <w:p w14:paraId="3A2BD53D" w14:textId="06B0CEA3" w:rsidR="00894093" w:rsidRPr="00A350FD" w:rsidRDefault="00894093" w:rsidP="00515096">
            <w:pPr>
              <w:jc w:val="center"/>
              <w:rPr>
                <w:b/>
                <w:bCs/>
              </w:rPr>
            </w:pPr>
            <w:r w:rsidRPr="00A350FD">
              <w:rPr>
                <w:b/>
                <w:bCs/>
              </w:rPr>
              <w:t xml:space="preserve">Term 1 </w:t>
            </w:r>
            <w:r w:rsidR="007C3AB6" w:rsidRPr="00A350FD">
              <w:rPr>
                <w:b/>
                <w:bCs/>
              </w:rPr>
              <w:t>–</w:t>
            </w:r>
            <w:r w:rsidRPr="00A350FD">
              <w:rPr>
                <w:b/>
                <w:bCs/>
              </w:rPr>
              <w:t xml:space="preserve"> </w:t>
            </w:r>
            <w:r w:rsidR="00D21041" w:rsidRPr="00A350FD">
              <w:rPr>
                <w:b/>
                <w:bCs/>
              </w:rPr>
              <w:t>Changing Places</w:t>
            </w:r>
            <w:r w:rsidR="007C3AB6" w:rsidRPr="00A350FD">
              <w:rPr>
                <w:b/>
                <w:bCs/>
              </w:rPr>
              <w:t xml:space="preserve"> and Coastal Landscapes</w:t>
            </w:r>
          </w:p>
        </w:tc>
        <w:tc>
          <w:tcPr>
            <w:tcW w:w="3591" w:type="dxa"/>
            <w:vAlign w:val="center"/>
          </w:tcPr>
          <w:p w14:paraId="3EA066B8" w14:textId="39C5C139" w:rsidR="00894093" w:rsidRPr="00A350FD" w:rsidRDefault="00894093" w:rsidP="00515096">
            <w:pPr>
              <w:jc w:val="center"/>
              <w:rPr>
                <w:b/>
                <w:bCs/>
              </w:rPr>
            </w:pPr>
            <w:r w:rsidRPr="00A350FD">
              <w:rPr>
                <w:b/>
                <w:bCs/>
              </w:rPr>
              <w:t>Term 2</w:t>
            </w:r>
            <w:r w:rsidR="00D21041" w:rsidRPr="00A350FD">
              <w:rPr>
                <w:b/>
                <w:bCs/>
              </w:rPr>
              <w:t xml:space="preserve"> – Tectonic Hazards and</w:t>
            </w:r>
            <w:r w:rsidR="00846D72" w:rsidRPr="00A350FD">
              <w:rPr>
                <w:b/>
                <w:bCs/>
              </w:rPr>
              <w:t xml:space="preserve"> Global Systems</w:t>
            </w:r>
          </w:p>
        </w:tc>
        <w:tc>
          <w:tcPr>
            <w:tcW w:w="3591" w:type="dxa"/>
            <w:vAlign w:val="center"/>
          </w:tcPr>
          <w:p w14:paraId="2A91675A" w14:textId="1918A5F5" w:rsidR="00894093" w:rsidRPr="00A350FD" w:rsidRDefault="00894093" w:rsidP="00515096">
            <w:pPr>
              <w:jc w:val="center"/>
              <w:rPr>
                <w:b/>
                <w:bCs/>
              </w:rPr>
            </w:pPr>
            <w:r w:rsidRPr="00A350FD">
              <w:rPr>
                <w:b/>
                <w:bCs/>
              </w:rPr>
              <w:t>Term 3</w:t>
            </w:r>
            <w:r w:rsidR="00846D72" w:rsidRPr="00A350FD">
              <w:rPr>
                <w:b/>
                <w:bCs/>
              </w:rPr>
              <w:t xml:space="preserve"> – Fieldwork and Global Governance</w:t>
            </w:r>
          </w:p>
        </w:tc>
      </w:tr>
      <w:tr w:rsidR="00894093" w14:paraId="7C079914" w14:textId="77777777" w:rsidTr="00515096">
        <w:trPr>
          <w:trHeight w:val="965"/>
        </w:trPr>
        <w:tc>
          <w:tcPr>
            <w:tcW w:w="1838" w:type="dxa"/>
            <w:vAlign w:val="center"/>
          </w:tcPr>
          <w:p w14:paraId="7A3B5B7B" w14:textId="77777777" w:rsidR="00894093" w:rsidRPr="001F6D74" w:rsidRDefault="00894093" w:rsidP="00515096">
            <w:pPr>
              <w:jc w:val="center"/>
              <w:rPr>
                <w:b/>
                <w:bCs/>
                <w:sz w:val="24"/>
                <w:szCs w:val="24"/>
              </w:rPr>
            </w:pPr>
            <w:r w:rsidRPr="001F6D74">
              <w:rPr>
                <w:b/>
                <w:bCs/>
                <w:sz w:val="24"/>
                <w:szCs w:val="24"/>
              </w:rPr>
              <w:t>High Quality Learning Experience</w:t>
            </w:r>
          </w:p>
        </w:tc>
        <w:tc>
          <w:tcPr>
            <w:tcW w:w="2410" w:type="dxa"/>
            <w:vAlign w:val="center"/>
          </w:tcPr>
          <w:p w14:paraId="523184B4" w14:textId="77777777" w:rsidR="00894093" w:rsidRPr="001F6D74" w:rsidRDefault="00894093" w:rsidP="00515096">
            <w:pPr>
              <w:jc w:val="center"/>
              <w:rPr>
                <w:b/>
                <w:bCs/>
                <w:sz w:val="24"/>
                <w:szCs w:val="24"/>
              </w:rPr>
            </w:pPr>
            <w:r w:rsidRPr="001F6D74">
              <w:rPr>
                <w:b/>
                <w:bCs/>
                <w:sz w:val="24"/>
                <w:szCs w:val="24"/>
              </w:rPr>
              <w:t>Literacy Skills and Key Vocabulary</w:t>
            </w:r>
          </w:p>
        </w:tc>
        <w:tc>
          <w:tcPr>
            <w:tcW w:w="3591" w:type="dxa"/>
          </w:tcPr>
          <w:p w14:paraId="50BCD384" w14:textId="044CEB63" w:rsidR="00894093" w:rsidRPr="00A350FD" w:rsidRDefault="002E408D" w:rsidP="00515096">
            <w:r w:rsidRPr="00A350FD">
              <w:t>Weathering, erosion, mass movement, granite, chalk, boulder clay, hydraulic action, abrasion, attrition, solution, longshore drift, stack, stump, arch, wave cut platform, groyne, sea wall, management, sustainability, conflict, stakeholders, hydrological cycle, social, economic, environmental</w:t>
            </w:r>
            <w:r w:rsidR="0064306C" w:rsidRPr="00A350FD">
              <w:t xml:space="preserve">, Urban, rural, wealth, poverty, migration, push factor, pull factor, climate, inequality, favela, squatter settlement, slum, shanty town, opportunities, challenges, sustainable, mega cities, globalisation, High Income Countries, Low Income Countries, Newly Emerging Economies, regeneration, rebranding, deindustrialisation, </w:t>
            </w:r>
            <w:r w:rsidR="00BE67CE" w:rsidRPr="00A350FD">
              <w:t>decline, brownfield, greenfield.</w:t>
            </w:r>
          </w:p>
        </w:tc>
        <w:tc>
          <w:tcPr>
            <w:tcW w:w="3591" w:type="dxa"/>
          </w:tcPr>
          <w:p w14:paraId="770B5EE5" w14:textId="6350B29C" w:rsidR="00894093" w:rsidRPr="00A350FD" w:rsidRDefault="00D0606C" w:rsidP="00515096">
            <w:r w:rsidRPr="00A350FD">
              <w:t>P</w:t>
            </w:r>
            <w:r w:rsidR="00BE67CE" w:rsidRPr="00A350FD">
              <w:t xml:space="preserve">late, plate boundary, constructive/divergent, destructive/convergent, conservative/transform, epicentre, focus, primary effect, secondary effect, Benioff Zone, lahars, </w:t>
            </w:r>
            <w:proofErr w:type="spellStart"/>
            <w:r w:rsidR="00BE67CE" w:rsidRPr="00A350FD">
              <w:t>jokulhlaup</w:t>
            </w:r>
            <w:proofErr w:type="spellEnd"/>
            <w:r w:rsidR="00BE67CE" w:rsidRPr="00A350FD">
              <w:t xml:space="preserve">, social, economic, environmental, mitigation, adaptation, Mercalli, pyroclastic flow, Richter Scale, seismology, tsunami, collision, composite, </w:t>
            </w:r>
            <w:proofErr w:type="spellStart"/>
            <w:r w:rsidR="00BE67CE" w:rsidRPr="00A350FD">
              <w:t>strato</w:t>
            </w:r>
            <w:proofErr w:type="spellEnd"/>
            <w:r w:rsidR="00BE67CE" w:rsidRPr="00A350FD">
              <w:t>, shield, relief, rehabilitation, reconstruction, prediction, monitoring, preparation, protection.</w:t>
            </w:r>
          </w:p>
        </w:tc>
        <w:tc>
          <w:tcPr>
            <w:tcW w:w="3591" w:type="dxa"/>
          </w:tcPr>
          <w:p w14:paraId="0A445F45" w14:textId="44A75E15" w:rsidR="00894093" w:rsidRPr="00A350FD" w:rsidRDefault="001A44C7" w:rsidP="00515096">
            <w:r w:rsidRPr="00A350FD">
              <w:t>Urban, rural, wealth, poverty, migration, push factor, pull factor, climate, inequality, favela, squatter settlement, slum, shanty town, opportunities, challenges, sustainable, mega cities, globalisation, High Income Countries, Low Income Countries, Newly Emerging Economies, time-space compression, converging</w:t>
            </w:r>
            <w:r w:rsidR="002248D9" w:rsidRPr="00A350FD">
              <w:t>, migration, refugee, displaced, asylum seeker, economic migrant</w:t>
            </w:r>
            <w:r w:rsidR="00134A30" w:rsidRPr="00A350FD">
              <w:t>.</w:t>
            </w:r>
          </w:p>
        </w:tc>
      </w:tr>
      <w:tr w:rsidR="00894093" w14:paraId="1FD03664" w14:textId="77777777" w:rsidTr="00515096">
        <w:trPr>
          <w:trHeight w:val="1301"/>
        </w:trPr>
        <w:tc>
          <w:tcPr>
            <w:tcW w:w="1838" w:type="dxa"/>
            <w:vMerge w:val="restart"/>
            <w:vAlign w:val="center"/>
          </w:tcPr>
          <w:p w14:paraId="4A888B40" w14:textId="77777777" w:rsidR="00894093" w:rsidRPr="001F6D74" w:rsidRDefault="00894093" w:rsidP="00515096">
            <w:pPr>
              <w:jc w:val="center"/>
              <w:rPr>
                <w:b/>
                <w:bCs/>
                <w:sz w:val="24"/>
                <w:szCs w:val="24"/>
              </w:rPr>
            </w:pPr>
            <w:r w:rsidRPr="001F6D74">
              <w:rPr>
                <w:b/>
                <w:bCs/>
                <w:sz w:val="24"/>
                <w:szCs w:val="24"/>
              </w:rPr>
              <w:t>Pursuit of Excellence</w:t>
            </w:r>
          </w:p>
        </w:tc>
        <w:tc>
          <w:tcPr>
            <w:tcW w:w="2410" w:type="dxa"/>
            <w:vAlign w:val="center"/>
          </w:tcPr>
          <w:p w14:paraId="7353012B" w14:textId="77777777" w:rsidR="00894093" w:rsidRPr="001F6D74" w:rsidRDefault="00894093" w:rsidP="00515096">
            <w:pPr>
              <w:jc w:val="center"/>
              <w:rPr>
                <w:b/>
                <w:bCs/>
                <w:sz w:val="24"/>
                <w:szCs w:val="24"/>
              </w:rPr>
            </w:pPr>
            <w:r w:rsidRPr="001F6D74">
              <w:rPr>
                <w:b/>
                <w:bCs/>
                <w:sz w:val="24"/>
                <w:szCs w:val="24"/>
              </w:rPr>
              <w:t>Knowledge and Skills</w:t>
            </w:r>
          </w:p>
        </w:tc>
        <w:tc>
          <w:tcPr>
            <w:tcW w:w="3591" w:type="dxa"/>
          </w:tcPr>
          <w:p w14:paraId="5260D68A" w14:textId="589C4481" w:rsidR="00894093" w:rsidRPr="00A350FD" w:rsidRDefault="00134A30" w:rsidP="00515096">
            <w:r w:rsidRPr="00A350FD">
              <w:t xml:space="preserve">The course is usually taught by two teachers, each taking a topic of focus. Within the changing places topic, students will build on their knowledge from urbanisation in GCSE and Key Stage Three. Students will identify the processes that contribute </w:t>
            </w:r>
            <w:r w:rsidRPr="00A350FD">
              <w:lastRenderedPageBreak/>
              <w:t xml:space="preserve">to changing places, challenges, </w:t>
            </w:r>
            <w:proofErr w:type="gramStart"/>
            <w:r w:rsidRPr="00A350FD">
              <w:t>opportunities</w:t>
            </w:r>
            <w:proofErr w:type="gramEnd"/>
            <w:r w:rsidRPr="00A350FD">
              <w:t xml:space="preserve"> and management strategies. For coastal landscapes, students continue to extend their knowledge whilst following a similar structure to </w:t>
            </w:r>
            <w:proofErr w:type="gramStart"/>
            <w:r w:rsidRPr="00A350FD">
              <w:t>GCSE;</w:t>
            </w:r>
            <w:proofErr w:type="gramEnd"/>
            <w:r w:rsidRPr="00A350FD">
              <w:t xml:space="preserve"> </w:t>
            </w:r>
            <w:r w:rsidR="006D38EA" w:rsidRPr="00A350FD">
              <w:t xml:space="preserve">processes, landforms, issues and management. </w:t>
            </w:r>
          </w:p>
        </w:tc>
        <w:tc>
          <w:tcPr>
            <w:tcW w:w="3591" w:type="dxa"/>
          </w:tcPr>
          <w:p w14:paraId="68135927" w14:textId="455B53C9" w:rsidR="00894093" w:rsidRPr="00A350FD" w:rsidRDefault="006D38EA" w:rsidP="00515096">
            <w:r w:rsidRPr="00A350FD">
              <w:lastRenderedPageBreak/>
              <w:t xml:space="preserve">Students will carry on with split teaching, </w:t>
            </w:r>
            <w:r w:rsidR="009B6AC2" w:rsidRPr="00A350FD">
              <w:t>but with a more physical focus this term. For tectonic hazards, students will investigate the theory behind plate tectonics, before understanding the physical processes that create them</w:t>
            </w:r>
            <w:r w:rsidR="00643460" w:rsidRPr="00A350FD">
              <w:t xml:space="preserve">. This is followed by </w:t>
            </w:r>
            <w:r w:rsidR="00643460" w:rsidRPr="00A350FD">
              <w:lastRenderedPageBreak/>
              <w:t xml:space="preserve">a range of case studies where students will investigate in depth contrasting examples in terms of effects and management. </w:t>
            </w:r>
            <w:r w:rsidR="003D244B" w:rsidRPr="00A350FD">
              <w:t>The Global Systems topic will be split into carbon and water cycles. Students will understand where carbon is stored in biomes, how they are part of cycles and feedback loops, before looking at specific examples in the UK and further afield. Links are drawn between the carbon and water cycles.</w:t>
            </w:r>
            <w:r w:rsidR="00E63732" w:rsidRPr="00A350FD">
              <w:t xml:space="preserve"> Students will </w:t>
            </w:r>
            <w:r w:rsidR="003A1F46" w:rsidRPr="00A350FD">
              <w:t>look at the drainage basin as a system, how precipitation affects both runoff and river discharge, before looking at the idea of water deficit within the water cycle.</w:t>
            </w:r>
          </w:p>
        </w:tc>
        <w:tc>
          <w:tcPr>
            <w:tcW w:w="3591" w:type="dxa"/>
          </w:tcPr>
          <w:p w14:paraId="49501205" w14:textId="5AC35732" w:rsidR="00894093" w:rsidRPr="00A350FD" w:rsidRDefault="003A1F46" w:rsidP="00515096">
            <w:r w:rsidRPr="00A350FD">
              <w:lastRenderedPageBreak/>
              <w:t xml:space="preserve">Students will begin to focus on the Non-Examined Assessment Independent Investigation. Students will be provided with four days of fieldwork; two days </w:t>
            </w:r>
            <w:r w:rsidR="00831A84" w:rsidRPr="00A350FD">
              <w:t xml:space="preserve">for understanding the skills related to physical and human fieldwork, and </w:t>
            </w:r>
            <w:r w:rsidR="00831A84" w:rsidRPr="00A350FD">
              <w:lastRenderedPageBreak/>
              <w:t>two days planned independently that link directly to their enquiry. Students will have time to write their Independent Investigation</w:t>
            </w:r>
            <w:r w:rsidR="00E22CE7" w:rsidRPr="00A350FD">
              <w:t xml:space="preserve"> in lesson and at home with clear deadlines. Students will then be introduced to Global Governance which will continue in the next Autumn Term. In this topic, students will understand the issues related to globalisation, what has caused them and how to manage them. </w:t>
            </w:r>
            <w:r w:rsidR="00CF3C52" w:rsidRPr="00A350FD">
              <w:t>Students will then follow the same pattern with the management of the oceans.</w:t>
            </w:r>
          </w:p>
        </w:tc>
      </w:tr>
      <w:tr w:rsidR="00823661" w14:paraId="7CAAAA43" w14:textId="77777777" w:rsidTr="00673F63">
        <w:trPr>
          <w:trHeight w:val="1301"/>
        </w:trPr>
        <w:tc>
          <w:tcPr>
            <w:tcW w:w="1838" w:type="dxa"/>
            <w:vMerge/>
            <w:vAlign w:val="center"/>
          </w:tcPr>
          <w:p w14:paraId="11C35560" w14:textId="77777777" w:rsidR="00823661" w:rsidRPr="001F6D74" w:rsidRDefault="00823661" w:rsidP="00823661">
            <w:pPr>
              <w:jc w:val="center"/>
              <w:rPr>
                <w:b/>
                <w:bCs/>
                <w:sz w:val="24"/>
                <w:szCs w:val="24"/>
              </w:rPr>
            </w:pPr>
          </w:p>
        </w:tc>
        <w:tc>
          <w:tcPr>
            <w:tcW w:w="2410" w:type="dxa"/>
            <w:vAlign w:val="center"/>
          </w:tcPr>
          <w:p w14:paraId="0DAEFC73" w14:textId="77777777" w:rsidR="00823661" w:rsidRPr="001F6D74" w:rsidRDefault="00823661" w:rsidP="00823661">
            <w:pPr>
              <w:jc w:val="center"/>
              <w:rPr>
                <w:b/>
                <w:bCs/>
                <w:sz w:val="24"/>
                <w:szCs w:val="24"/>
              </w:rPr>
            </w:pPr>
            <w:r w:rsidRPr="001F6D74">
              <w:rPr>
                <w:b/>
                <w:bCs/>
                <w:sz w:val="24"/>
                <w:szCs w:val="24"/>
              </w:rPr>
              <w:t>Subject specific pedagogy</w:t>
            </w:r>
          </w:p>
        </w:tc>
        <w:tc>
          <w:tcPr>
            <w:tcW w:w="7182" w:type="dxa"/>
            <w:gridSpan w:val="2"/>
          </w:tcPr>
          <w:p w14:paraId="59AC551A" w14:textId="14A302BC" w:rsidR="00823661" w:rsidRPr="00A350FD" w:rsidRDefault="00823661" w:rsidP="00823661">
            <w:r w:rsidRPr="00A350FD">
              <w:t xml:space="preserve">Students will be developing a greater sense of independence; with skills to support this becoming a clear focus. Students will also be able to support each other in pairs and as a group. UK and global examples will allow students to draw a connection to </w:t>
            </w:r>
            <w:proofErr w:type="gramStart"/>
            <w:r w:rsidRPr="00A350FD">
              <w:t>learning, and</w:t>
            </w:r>
            <w:proofErr w:type="gramEnd"/>
            <w:r w:rsidRPr="00A350FD">
              <w:t xml:space="preserve"> suggested independent fieldwork may be provided. There will be a continued focus on recall and developing exam skills with clear scaffolding, understanding the how exam structure has changed from GCSE to A Level.</w:t>
            </w:r>
          </w:p>
        </w:tc>
        <w:tc>
          <w:tcPr>
            <w:tcW w:w="3591" w:type="dxa"/>
          </w:tcPr>
          <w:p w14:paraId="4349AE25" w14:textId="426092C8" w:rsidR="00823661" w:rsidRPr="00A350FD" w:rsidRDefault="00823661" w:rsidP="00823661">
            <w:r w:rsidRPr="00A350FD">
              <w:t xml:space="preserve">Students will continue to work independently, in pairs and as a group. There is a greater practical element in the form of fieldwork which will provide practical skills for students that may be applied across other subjects. </w:t>
            </w:r>
          </w:p>
        </w:tc>
      </w:tr>
      <w:tr w:rsidR="00292B10" w14:paraId="38895FC7" w14:textId="77777777" w:rsidTr="00250C1E">
        <w:trPr>
          <w:trHeight w:val="1228"/>
        </w:trPr>
        <w:tc>
          <w:tcPr>
            <w:tcW w:w="1838" w:type="dxa"/>
            <w:vAlign w:val="center"/>
          </w:tcPr>
          <w:p w14:paraId="3A52D0F7" w14:textId="77777777" w:rsidR="00292B10" w:rsidRPr="001F6D74" w:rsidRDefault="00292B10" w:rsidP="00292B10">
            <w:pPr>
              <w:jc w:val="center"/>
              <w:rPr>
                <w:b/>
                <w:bCs/>
                <w:sz w:val="24"/>
                <w:szCs w:val="24"/>
              </w:rPr>
            </w:pPr>
            <w:r w:rsidRPr="001F6D74">
              <w:rPr>
                <w:b/>
                <w:bCs/>
                <w:sz w:val="24"/>
                <w:szCs w:val="24"/>
              </w:rPr>
              <w:t>Extending the boundaries of learning</w:t>
            </w:r>
          </w:p>
        </w:tc>
        <w:tc>
          <w:tcPr>
            <w:tcW w:w="2410" w:type="dxa"/>
            <w:vAlign w:val="center"/>
          </w:tcPr>
          <w:p w14:paraId="16275AB1" w14:textId="77777777" w:rsidR="00292B10" w:rsidRPr="001F6D74" w:rsidRDefault="00292B10" w:rsidP="00292B10">
            <w:pPr>
              <w:jc w:val="center"/>
              <w:rPr>
                <w:b/>
                <w:bCs/>
                <w:sz w:val="24"/>
                <w:szCs w:val="24"/>
              </w:rPr>
            </w:pPr>
            <w:r w:rsidRPr="001F6D74">
              <w:rPr>
                <w:b/>
                <w:bCs/>
                <w:sz w:val="24"/>
                <w:szCs w:val="24"/>
              </w:rPr>
              <w:t>Cultural Capital and beyond the curriculum</w:t>
            </w:r>
          </w:p>
        </w:tc>
        <w:tc>
          <w:tcPr>
            <w:tcW w:w="10773" w:type="dxa"/>
            <w:gridSpan w:val="3"/>
          </w:tcPr>
          <w:p w14:paraId="7AC37C6D" w14:textId="0CB27422" w:rsidR="00292B10" w:rsidRPr="00A350FD" w:rsidRDefault="00292B10" w:rsidP="00292B10">
            <w:r w:rsidRPr="00A350FD">
              <w:t xml:space="preserve">Examples and case studies provided will give students chance to explore the UK and further afield, using concepts from lesson in a practical way. Students will be expected to </w:t>
            </w:r>
            <w:proofErr w:type="gramStart"/>
            <w:r w:rsidRPr="00A350FD">
              <w:t>make a contribution</w:t>
            </w:r>
            <w:proofErr w:type="gramEnd"/>
            <w:r w:rsidRPr="00A350FD">
              <w:t xml:space="preserve"> to the department and school life, </w:t>
            </w:r>
            <w:r w:rsidR="00A2377F" w:rsidRPr="00A350FD">
              <w:t>becoming ambassadors for the subject.</w:t>
            </w:r>
          </w:p>
        </w:tc>
      </w:tr>
      <w:tr w:rsidR="00480D36" w14:paraId="6F4B4AFC" w14:textId="77777777" w:rsidTr="001C5BCC">
        <w:trPr>
          <w:trHeight w:val="1228"/>
        </w:trPr>
        <w:tc>
          <w:tcPr>
            <w:tcW w:w="1838" w:type="dxa"/>
            <w:vAlign w:val="center"/>
          </w:tcPr>
          <w:p w14:paraId="092C2AA4" w14:textId="77777777" w:rsidR="00480D36" w:rsidRPr="001F6D74" w:rsidRDefault="00480D36" w:rsidP="00480D36">
            <w:pPr>
              <w:jc w:val="center"/>
              <w:rPr>
                <w:b/>
                <w:bCs/>
                <w:sz w:val="24"/>
                <w:szCs w:val="24"/>
              </w:rPr>
            </w:pPr>
            <w:r w:rsidRPr="001F6D74">
              <w:rPr>
                <w:b/>
                <w:bCs/>
                <w:sz w:val="24"/>
                <w:szCs w:val="24"/>
              </w:rPr>
              <w:t>Achievement</w:t>
            </w:r>
          </w:p>
        </w:tc>
        <w:tc>
          <w:tcPr>
            <w:tcW w:w="2410" w:type="dxa"/>
            <w:vAlign w:val="center"/>
          </w:tcPr>
          <w:p w14:paraId="7E6C84C8" w14:textId="77777777" w:rsidR="00480D36" w:rsidRPr="001F6D74" w:rsidRDefault="00480D36" w:rsidP="00480D36">
            <w:pPr>
              <w:jc w:val="center"/>
              <w:rPr>
                <w:b/>
                <w:bCs/>
                <w:sz w:val="24"/>
                <w:szCs w:val="24"/>
              </w:rPr>
            </w:pPr>
            <w:r w:rsidRPr="001F6D74">
              <w:rPr>
                <w:b/>
                <w:bCs/>
                <w:sz w:val="24"/>
                <w:szCs w:val="24"/>
              </w:rPr>
              <w:t>Assessment</w:t>
            </w:r>
          </w:p>
        </w:tc>
        <w:tc>
          <w:tcPr>
            <w:tcW w:w="10773" w:type="dxa"/>
            <w:gridSpan w:val="3"/>
          </w:tcPr>
          <w:p w14:paraId="7BEDDD2F" w14:textId="5950F41D" w:rsidR="00480D36" w:rsidRPr="00A350FD" w:rsidRDefault="00480D36" w:rsidP="00480D36">
            <w:r w:rsidRPr="00A350FD">
              <w:t xml:space="preserve">Students will be assessed on home learning through </w:t>
            </w:r>
            <w:r w:rsidR="00BD5ECE" w:rsidRPr="00A350FD">
              <w:t xml:space="preserve">research tasks, exam questions and </w:t>
            </w:r>
            <w:r w:rsidRPr="00A350FD">
              <w:t>sites such as Seneca Learning. Within class, students will have recall quizzes, guided exam practice and</w:t>
            </w:r>
            <w:r w:rsidR="003E0211" w:rsidRPr="00A350FD">
              <w:t xml:space="preserve"> regular</w:t>
            </w:r>
            <w:r w:rsidRPr="00A350FD">
              <w:t xml:space="preserve"> exam conditions tests. Students will have chance to sit a mock exam based on all the content covered. </w:t>
            </w:r>
          </w:p>
        </w:tc>
      </w:tr>
      <w:tr w:rsidR="00A15A66" w14:paraId="4C87DA2C" w14:textId="77777777" w:rsidTr="00E50954">
        <w:trPr>
          <w:trHeight w:val="1228"/>
        </w:trPr>
        <w:tc>
          <w:tcPr>
            <w:tcW w:w="1838" w:type="dxa"/>
            <w:vAlign w:val="center"/>
          </w:tcPr>
          <w:p w14:paraId="36888994" w14:textId="77777777" w:rsidR="00A15A66" w:rsidRPr="001F6D74" w:rsidRDefault="00A15A66" w:rsidP="00480D36">
            <w:pPr>
              <w:jc w:val="center"/>
              <w:rPr>
                <w:b/>
                <w:bCs/>
                <w:sz w:val="24"/>
                <w:szCs w:val="24"/>
              </w:rPr>
            </w:pPr>
            <w:r w:rsidRPr="001F6D74">
              <w:rPr>
                <w:b/>
                <w:bCs/>
                <w:sz w:val="24"/>
                <w:szCs w:val="24"/>
              </w:rPr>
              <w:t>Valuing People</w:t>
            </w:r>
          </w:p>
        </w:tc>
        <w:tc>
          <w:tcPr>
            <w:tcW w:w="2410" w:type="dxa"/>
            <w:vAlign w:val="center"/>
          </w:tcPr>
          <w:p w14:paraId="2F12B920" w14:textId="77777777" w:rsidR="00A15A66" w:rsidRPr="001F6D74" w:rsidRDefault="00A15A66" w:rsidP="00480D36">
            <w:pPr>
              <w:jc w:val="center"/>
              <w:rPr>
                <w:b/>
                <w:bCs/>
                <w:sz w:val="24"/>
                <w:szCs w:val="24"/>
              </w:rPr>
            </w:pPr>
            <w:r w:rsidRPr="001F6D74">
              <w:rPr>
                <w:b/>
                <w:bCs/>
                <w:sz w:val="24"/>
                <w:szCs w:val="24"/>
              </w:rPr>
              <w:t>How our curriculum meets the needs of every individual</w:t>
            </w:r>
          </w:p>
        </w:tc>
        <w:tc>
          <w:tcPr>
            <w:tcW w:w="10773" w:type="dxa"/>
            <w:gridSpan w:val="3"/>
          </w:tcPr>
          <w:p w14:paraId="288C6A82" w14:textId="77777777" w:rsidR="00A15A66" w:rsidRPr="00A350FD" w:rsidRDefault="00A15A66" w:rsidP="00480D36">
            <w:r w:rsidRPr="00A350FD">
              <w:t>Teachers will make use of data, previous lessons and learning needs to provide for all students. Lessons will be differentiated accordingly so all students can progress. Where there are learning needs, teachers will make use of support staff and the Supportive Skills Department. All students will be included in fieldwork, including Pupil Premium. Targeted sessions based on attainment will be provided to maximise progress.</w:t>
            </w:r>
          </w:p>
          <w:p w14:paraId="38B805D2" w14:textId="77777777" w:rsidR="00921594" w:rsidRPr="00A350FD" w:rsidRDefault="00921594" w:rsidP="00921594"/>
          <w:p w14:paraId="06C42C20" w14:textId="77777777" w:rsidR="00921594" w:rsidRPr="00A350FD" w:rsidRDefault="00921594" w:rsidP="00921594">
            <w:r w:rsidRPr="00A350FD">
              <w:t xml:space="preserve">Continuous emphasis on key terminology and retrieval practice of this throughout the course. Breaking down key terms into smaller words to understand wider meanings and further extension opportunities embedded throughout. </w:t>
            </w:r>
          </w:p>
          <w:p w14:paraId="2EDD6B24" w14:textId="77777777" w:rsidR="00921594" w:rsidRPr="00A350FD" w:rsidRDefault="00921594" w:rsidP="00921594"/>
          <w:p w14:paraId="7F6421A9" w14:textId="3F649830" w:rsidR="00921594" w:rsidRPr="00A350FD" w:rsidRDefault="00921594" w:rsidP="00921594">
            <w:r w:rsidRPr="00A350FD">
              <w:t xml:space="preserve">Liaising with year leaders, </w:t>
            </w:r>
            <w:r w:rsidR="0003404C" w:rsidRPr="00A350FD">
              <w:t>Supportive Skills Department</w:t>
            </w:r>
            <w:r w:rsidRPr="00A350FD">
              <w:t xml:space="preserve">, form tutors and parents to develop a holistic understanding of our students, so that any intervention is bespoke to the individual. </w:t>
            </w:r>
          </w:p>
          <w:p w14:paraId="3F6C4B94" w14:textId="77777777" w:rsidR="00921594" w:rsidRPr="00A350FD" w:rsidRDefault="00921594" w:rsidP="00921594"/>
          <w:p w14:paraId="389C37EB" w14:textId="77777777" w:rsidR="00921594" w:rsidRPr="00A350FD" w:rsidRDefault="00921594" w:rsidP="00921594">
            <w:r w:rsidRPr="00A350FD">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5C1A1354" w14:textId="77777777" w:rsidR="00921594" w:rsidRPr="00A350FD" w:rsidRDefault="00921594" w:rsidP="00921594"/>
          <w:p w14:paraId="6F645900" w14:textId="77777777" w:rsidR="00921594" w:rsidRPr="00A350FD" w:rsidRDefault="00921594" w:rsidP="00921594">
            <w:r w:rsidRPr="00A350FD">
              <w:t xml:space="preserve">Staff within the department continuously share good practice through regular meetings, lesson drop-ins, marking standardisation and feedback after completing various CPD courses. </w:t>
            </w:r>
          </w:p>
          <w:p w14:paraId="77B74CE2" w14:textId="77777777" w:rsidR="00921594" w:rsidRPr="00A350FD" w:rsidRDefault="00921594" w:rsidP="00921594"/>
          <w:p w14:paraId="7FA3DDFB" w14:textId="4E0D6BEB" w:rsidR="00921594" w:rsidRPr="00A350FD" w:rsidRDefault="00921594" w:rsidP="00921594">
            <w:r w:rsidRPr="00A350FD">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1EE77BE8" w14:textId="12C9AAB8" w:rsidR="00894093" w:rsidRDefault="00894093" w:rsidP="00253404"/>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50FD"/>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77FF5"/>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2022-07-21T09:12:00Z</dcterms:created>
  <dcterms:modified xsi:type="dcterms:W3CDTF">2022-07-21T09:12:00Z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